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C5" w:rsidRPr="006A7DC5" w:rsidRDefault="006A7DC5" w:rsidP="006A7DC5">
      <w:pPr>
        <w:spacing w:before="68" w:after="68" w:line="376" w:lineRule="atLeast"/>
        <w:ind w:right="137"/>
        <w:jc w:val="center"/>
        <w:outlineLvl w:val="3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6A7DC5">
        <w:rPr>
          <w:rFonts w:ascii="Times New Roman" w:eastAsia="Times New Roman" w:hAnsi="Times New Roman" w:cs="Times New Roman"/>
          <w:color w:val="464646"/>
          <w:sz w:val="32"/>
          <w:szCs w:val="32"/>
        </w:rPr>
        <w:t>Что такое мелкая моторика и почему так важно её развивать?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Работу по развитию мелкой моторики рук ребёнка следует начинать с самого раннего возраста. Уже грудному младенцу можно делать пальчиковую гимнастику </w:t>
      </w:r>
      <w:proofErr w:type="gram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–м</w:t>
      </w:r>
      <w:proofErr w:type="gram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ассировать пальчики. Тем самым мы воздействуем на связанные с корой головного мозга, активные точки. Во всем этом отражаются психология, внутренний мир, состояние человека. Это доказано учеными. 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 </w:t>
      </w:r>
      <w:r w:rsidRPr="006A7DC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(В. А. Сухомлинский)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передаем импульсы в речевые центры, что и активизирует речь.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br/>
        <w:t xml:space="preserve">Развивая мелкую моторику пальцев, мы воздействуем на внутренние органы человека. Доказано, что одним из показателей нормального физического и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нервнопсихического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развития ребёнка является развитие руки, ручных умений, или как принято говорить, мелкой моторики. По умелости детских рук специалисты на основе современных исследований делают вывод об особенностях развития центральной нервной системы и её мозга.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На руке находятся биологически активные точки нашего организма.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br/>
        <w:t xml:space="preserve">Уровень развития речи детей находится в зависимости от степени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сформированности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тонких движений пальцев рук. Тренируя пальцы, мы оказываем мощное воздействие на работоспособность коры головного мозга, что в дальнейшем сказывается на подготовке руки к письму. Развиваем мелкую моторику у дошкольников рук - развиваем и языковой аппарат.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Мы должны уделить внимание мелкой моторике рук у ребенка. Ведь развитие рук связано с развитием речи и мышления ребёнка.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Иногда дети не любят застегивать пуговицы или шнуровать ботинки. Это свидетельствует о том, что у малыша мелкая моторика развита недостаточно. Дело в том, что память, внимание, эмоции языковой аппарат и кончики пальцев тесно связаны между собой, ведь центры моторики языка в коре головного мозга расположены рядом с центрами движения. Если у ребенка повышенный или сниженный тонус мышц, заниматься нужно обязательно ежедневно.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Все эти упражнения приносят тройную пользу ребёнку. Кисти рук приобретают хорошую подвижность, гибкость, исчезает скованность движений рук, таким образом, дошкольника подготавливают к овладению письмом, формируют у него художественный вкус.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Поэтому в нашей группе развитию мелкой моторики уделяется специальное внимание, такая работа ведется, начиная с группы раннего возраста. Ежедневно за 3-5 минут до обеда, сидя на стульях, мы играем с детьми в пальчиковые игры. Начинать следует из пальчиковой гимнастики. Составлять по очереди пальчики одной руки в кулачок, потом другой. Превращая это в игру, говоря: "Пальчик, пальчик, где ты был?" - "С этим братом в лес ходил, с этим братом суп варил, с этим братом кашу ел, с этим братом песню пел".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«Пальчики здороваются»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 кончик большого пальца правой руки поочередно касается кончиков указательного, среднего, безымянного и мизинца. "Поздороваться" пальчиками на левой руке, а затем одновременно на двух руках.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«Человечек»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 указательный и средний пальцы правой </w:t>
      </w:r>
      <w:r w:rsidRPr="006A7DC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(затем и левой)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руки - "бегает" по столу.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«Слоненок»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 </w:t>
      </w:r>
      <w:r w:rsidRPr="006A7DC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(средний палец выставлен вперед – хобот, а указательный и безымянный – ноги)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«идет» по столу.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«Оса»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 выпрямить указательный палец правой руки и вращать им. Те же движения производить указательным пальцем левой руки и одновременно указательными пальцами обеих рук </w:t>
      </w:r>
      <w:r w:rsidRPr="006A7DC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(«осы»)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lastRenderedPageBreak/>
        <w:t>«Корни деревьев»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 кисти рук сплетены, растопыренные пальцы опущены вниз.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«Деревья»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 поднять обе руки ладонями к себе, широко расставить пальцы.</w:t>
      </w:r>
    </w:p>
    <w:p w:rsidR="006A7DC5" w:rsidRPr="006A7DC5" w:rsidRDefault="006A7DC5" w:rsidP="006A7D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gramStart"/>
      <w:r w:rsidRPr="006A7D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«Очки»</w:t>
      </w: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 - образовать два кружка из большого и указательного пальцев обеих рук, соединить их.</w:t>
      </w:r>
      <w:proofErr w:type="gramEnd"/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При выполнении многих упражнений все дети вначале испытывают затруднения. Но когда их проводишь регулярно и используются разнообразные приёмы, то это становится мощным средством повышения работоспособности коры головного мозга, стимулирующим развитие мышления ребёнка. Все упражнения проводятся в игровой форме. Сложность их должна выбираться в зависимости от уровня развития тонкой моторики рук ребёнка. Необходимо и полезно использовать и упражнения для тренировки пальцев в сочетании с речью детей.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Существует, и продолжают разрабатываться методики, рекомендующие развивать мелкую моторику малышей, на материале движений без предметов, в частности с использованием народных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потешек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. </w:t>
      </w:r>
      <w:proofErr w:type="gram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Народные</w:t>
      </w:r>
      <w:proofErr w:type="gram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потешки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это как основа для пальчиковых игр. Язык народных произведений яркий, образный, легко запоминающийся. В них </w:t>
      </w:r>
      <w:proofErr w:type="gram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очень много</w:t>
      </w:r>
      <w:proofErr w:type="gram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ласкательных слов, обращений, часто они имеют диалогическую форму. Некоторые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потешки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построены по типу обращения, сообщения.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Чтение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потешки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народных песенок проводится в форме весёлой, увлекательной игры, при сопровождении слова движением которые должны совпадать с моментом производимого ребёнка движения или действия выполняемого взрослого. Поскольку дети младшего дошкольного возраста не могут воспринимать быстрой речи, то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потешки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народные песенки, читаются неторопливо, отчётливо. При этом ещё развивается память ребёнка в заучивании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потешки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Эти игры создают благоприятный фон, обеспечивают хорошую тренировку пальцев, способствуют развитию умения слушать и понимать содержание </w:t>
      </w:r>
      <w:proofErr w:type="spell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потешек</w:t>
      </w:r>
      <w:proofErr w:type="spell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, учат улавливать ритм речи. Игры эти очень эмоциональные, их можно проводить как в детском саду, так и дома. Они увлекательны и способствуют развитию речи, творческой деятельности.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«Сорока»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Сорока </w:t>
      </w:r>
      <w:proofErr w:type="gramStart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-б</w:t>
      </w:r>
      <w:proofErr w:type="gramEnd"/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елобока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Кашку варила,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Детишек кормила.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Этому дала,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Этому дала,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Этому дала,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Этому дала,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Этому дала.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«Моя семья»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дедушка,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бабушка,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папочка,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мамочка,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хочет спать.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- прыг в кровать!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прикорнул.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пальчик уж заснул.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Встали пальчики. Ура!</w:t>
      </w:r>
    </w:p>
    <w:p w:rsidR="006A7DC5" w:rsidRPr="006A7DC5" w:rsidRDefault="006A7DC5" w:rsidP="006A7DC5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>В детский сад идти пора.</w:t>
      </w:r>
    </w:p>
    <w:p w:rsidR="006A7DC5" w:rsidRPr="006A7DC5" w:rsidRDefault="006A7DC5" w:rsidP="006A7DC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A7D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Эту методику мы с успехом используем в работе по развитию мелкой моторики рук. </w:t>
      </w:r>
    </w:p>
    <w:p w:rsidR="00F95B33" w:rsidRPr="006A7DC5" w:rsidRDefault="00F95B33" w:rsidP="006A7D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5B33" w:rsidRPr="006A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3989"/>
    <w:multiLevelType w:val="multilevel"/>
    <w:tmpl w:val="07F2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DC5"/>
    <w:rsid w:val="006A7DC5"/>
    <w:rsid w:val="00F9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7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A7D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7D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A7DC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vtor">
    <w:name w:val="avtor"/>
    <w:basedOn w:val="a"/>
    <w:rsid w:val="006A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A7D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6A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598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654602051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1940023461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</w:divsChild>
            </w:div>
          </w:divsChild>
        </w:div>
        <w:div w:id="1272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041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1846047484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1712069873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</w:divsChild>
            </w:div>
          </w:divsChild>
        </w:div>
        <w:div w:id="611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2020-12-04T20:19:00Z</dcterms:created>
  <dcterms:modified xsi:type="dcterms:W3CDTF">2020-12-04T20:26:00Z</dcterms:modified>
</cp:coreProperties>
</file>